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公文小标宋" w:hAnsi="方正公文小标宋" w:eastAsia="方正公文小标宋"/>
          <w:sz w:val="44"/>
          <w:szCs w:val="44"/>
        </w:rPr>
      </w:pPr>
    </w:p>
    <w:p>
      <w:pPr>
        <w:spacing w:line="560" w:lineRule="exact"/>
        <w:rPr>
          <w:rFonts w:ascii="方正公文小标宋" w:hAnsi="方正公文小标宋" w:eastAsia="方正公文小标宋"/>
          <w:sz w:val="44"/>
          <w:szCs w:val="44"/>
        </w:rPr>
      </w:pPr>
    </w:p>
    <w:p>
      <w:pPr>
        <w:spacing w:line="560" w:lineRule="exact"/>
        <w:rPr>
          <w:rFonts w:ascii="方正公文小标宋" w:hAnsi="方正公文小标宋" w:eastAsia="方正公文小标宋"/>
          <w:sz w:val="44"/>
          <w:szCs w:val="44"/>
        </w:rPr>
      </w:pPr>
    </w:p>
    <w:p>
      <w:pPr>
        <w:spacing w:line="560" w:lineRule="exact"/>
        <w:jc w:val="center"/>
        <w:rPr>
          <w:rFonts w:ascii="方正公文小标宋" w:hAnsi="方正公文小标宋" w:eastAsia="方正公文小标宋"/>
          <w:sz w:val="44"/>
          <w:szCs w:val="44"/>
        </w:rPr>
      </w:pPr>
      <w:r>
        <w:rPr>
          <w:rFonts w:hint="eastAsia" w:ascii="方正公文小标宋" w:hAnsi="方正公文小标宋" w:eastAsia="方正公文小标宋"/>
          <w:sz w:val="44"/>
          <w:szCs w:val="44"/>
        </w:rPr>
        <w:t>国家中医药博物馆2025年</w:t>
      </w:r>
      <w:r>
        <w:rPr>
          <w:rFonts w:hint="eastAsia" w:ascii="方正公文小标宋" w:hAnsi="方正公文小标宋" w:eastAsia="方正公文小标宋"/>
          <w:sz w:val="44"/>
          <w:szCs w:val="44"/>
          <w:lang w:val="en-US" w:eastAsia="zh-CN"/>
        </w:rPr>
        <w:t>部门</w:t>
      </w:r>
      <w:r>
        <w:rPr>
          <w:rFonts w:hint="eastAsia" w:ascii="方正公文小标宋" w:hAnsi="方正公文小标宋" w:eastAsia="方正公文小标宋"/>
          <w:sz w:val="44"/>
          <w:szCs w:val="44"/>
        </w:rPr>
        <w:t>预算</w:t>
      </w:r>
    </w:p>
    <w:p>
      <w:pPr>
        <w:spacing w:line="560" w:lineRule="exact"/>
        <w:rPr>
          <w:rFonts w:ascii="方正公文小标宋" w:hAnsi="方正公文小标宋" w:eastAsia="方正公文小标宋"/>
          <w:sz w:val="44"/>
          <w:szCs w:val="44"/>
        </w:rPr>
      </w:pPr>
    </w:p>
    <w:p>
      <w:pPr>
        <w:jc w:val="center"/>
        <w:rPr>
          <w:rFonts w:ascii="黑体" w:hAnsi="黑体" w:eastAsia="黑体"/>
          <w:bCs/>
          <w:sz w:val="32"/>
          <w:szCs w:val="32"/>
        </w:rPr>
      </w:pPr>
      <w:r>
        <w:rPr>
          <w:rFonts w:hint="eastAsia" w:ascii="黑体" w:hAnsi="黑体" w:eastAsia="黑体"/>
          <w:bCs/>
          <w:sz w:val="32"/>
          <w:szCs w:val="32"/>
        </w:rPr>
        <w:t>目  录</w:t>
      </w:r>
    </w:p>
    <w:p>
      <w:pPr>
        <w:jc w:val="left"/>
        <w:rPr>
          <w:rFonts w:ascii="黑体" w:hAnsi="黑体" w:eastAsia="黑体"/>
          <w:bCs/>
          <w:sz w:val="32"/>
          <w:szCs w:val="32"/>
        </w:rPr>
      </w:pPr>
      <w:r>
        <w:rPr>
          <w:rFonts w:hint="eastAsia" w:ascii="黑体" w:hAnsi="黑体" w:eastAsia="黑体"/>
          <w:bCs/>
          <w:sz w:val="32"/>
          <w:szCs w:val="32"/>
        </w:rPr>
        <w:t>第一部分 国家中医药博物馆概况</w:t>
      </w:r>
    </w:p>
    <w:p>
      <w:pPr>
        <w:spacing w:line="600" w:lineRule="exact"/>
        <w:rPr>
          <w:rFonts w:ascii="仿宋_GB2312" w:eastAsia="仿宋_GB2312"/>
          <w:sz w:val="32"/>
          <w:szCs w:val="32"/>
        </w:rPr>
      </w:pPr>
      <w:r>
        <w:rPr>
          <w:rFonts w:hint="eastAsia" w:ascii="仿宋_GB2312" w:eastAsia="仿宋_GB2312"/>
          <w:sz w:val="32"/>
          <w:szCs w:val="32"/>
        </w:rPr>
        <w:t>一、主要职能</w:t>
      </w:r>
    </w:p>
    <w:p>
      <w:pPr>
        <w:spacing w:line="600" w:lineRule="exact"/>
        <w:rPr>
          <w:rFonts w:ascii="仿宋_GB2312" w:eastAsia="仿宋_GB2312"/>
          <w:sz w:val="32"/>
          <w:szCs w:val="32"/>
        </w:rPr>
      </w:pPr>
      <w:r>
        <w:rPr>
          <w:rFonts w:hint="eastAsia" w:ascii="仿宋_GB2312" w:eastAsia="仿宋_GB2312"/>
          <w:sz w:val="32"/>
          <w:szCs w:val="32"/>
        </w:rPr>
        <w:t>二、单位内设机构</w:t>
      </w:r>
    </w:p>
    <w:p>
      <w:pPr>
        <w:jc w:val="left"/>
        <w:rPr>
          <w:rFonts w:ascii="黑体" w:hAnsi="黑体" w:eastAsia="黑体"/>
          <w:bCs/>
          <w:sz w:val="32"/>
          <w:szCs w:val="32"/>
        </w:rPr>
      </w:pPr>
      <w:r>
        <w:rPr>
          <w:rFonts w:hint="eastAsia" w:ascii="黑体" w:hAnsi="黑体" w:eastAsia="黑体"/>
          <w:bCs/>
          <w:sz w:val="32"/>
          <w:szCs w:val="32"/>
        </w:rPr>
        <w:t>第二部分 2025年</w:t>
      </w:r>
      <w:r>
        <w:rPr>
          <w:rFonts w:hint="eastAsia" w:ascii="黑体" w:hAnsi="黑体" w:eastAsia="黑体"/>
          <w:bCs/>
          <w:sz w:val="32"/>
          <w:szCs w:val="32"/>
          <w:lang w:val="en-US" w:eastAsia="zh-CN"/>
        </w:rPr>
        <w:t>部门</w:t>
      </w:r>
      <w:r>
        <w:rPr>
          <w:rFonts w:hint="eastAsia" w:ascii="黑体" w:hAnsi="黑体" w:eastAsia="黑体"/>
          <w:bCs/>
          <w:sz w:val="32"/>
          <w:szCs w:val="32"/>
        </w:rPr>
        <w:t>预算表</w:t>
      </w:r>
    </w:p>
    <w:p>
      <w:pPr>
        <w:spacing w:line="600" w:lineRule="exact"/>
        <w:rPr>
          <w:rFonts w:ascii="仿宋_GB2312" w:eastAsia="仿宋_GB2312"/>
          <w:sz w:val="32"/>
          <w:szCs w:val="32"/>
        </w:rPr>
      </w:pPr>
      <w:r>
        <w:rPr>
          <w:rFonts w:hint="eastAsia" w:ascii="仿宋_GB2312" w:eastAsia="仿宋_GB2312"/>
          <w:sz w:val="32"/>
          <w:szCs w:val="32"/>
        </w:rPr>
        <w:t>一、收支总表</w:t>
      </w:r>
    </w:p>
    <w:p>
      <w:pPr>
        <w:spacing w:line="600" w:lineRule="exact"/>
        <w:rPr>
          <w:rFonts w:ascii="仿宋_GB2312" w:eastAsia="仿宋_GB2312"/>
          <w:sz w:val="32"/>
          <w:szCs w:val="32"/>
        </w:rPr>
      </w:pPr>
      <w:r>
        <w:rPr>
          <w:rFonts w:hint="eastAsia" w:ascii="仿宋_GB2312" w:eastAsia="仿宋_GB2312"/>
          <w:sz w:val="32"/>
          <w:szCs w:val="32"/>
        </w:rPr>
        <w:t>二、收入总表</w:t>
      </w:r>
    </w:p>
    <w:p>
      <w:pPr>
        <w:spacing w:line="600" w:lineRule="exact"/>
        <w:rPr>
          <w:rFonts w:ascii="仿宋_GB2312" w:eastAsia="仿宋_GB2312"/>
          <w:sz w:val="32"/>
          <w:szCs w:val="32"/>
        </w:rPr>
      </w:pPr>
      <w:bookmarkStart w:id="0" w:name="_GoBack"/>
      <w:r>
        <w:rPr>
          <w:rFonts w:hint="eastAsia" w:ascii="仿宋_GB2312" w:eastAsia="仿宋_GB2312"/>
          <w:sz w:val="32"/>
          <w:szCs w:val="32"/>
        </w:rPr>
        <w:t>三、支出总表</w:t>
      </w:r>
    </w:p>
    <w:bookmarkEnd w:id="0"/>
    <w:p>
      <w:pPr>
        <w:spacing w:line="600" w:lineRule="exact"/>
        <w:rPr>
          <w:rFonts w:ascii="仿宋_GB2312" w:eastAsia="仿宋_GB2312"/>
          <w:sz w:val="32"/>
          <w:szCs w:val="32"/>
        </w:rPr>
      </w:pPr>
      <w:r>
        <w:rPr>
          <w:rFonts w:hint="eastAsia" w:ascii="仿宋_GB2312" w:eastAsia="仿宋_GB2312"/>
          <w:sz w:val="32"/>
          <w:szCs w:val="32"/>
        </w:rPr>
        <w:t>四、财政拨款收支总表</w:t>
      </w:r>
    </w:p>
    <w:p>
      <w:pPr>
        <w:spacing w:line="600" w:lineRule="exact"/>
        <w:rPr>
          <w:rFonts w:ascii="仿宋_GB2312" w:eastAsia="仿宋_GB2312"/>
          <w:sz w:val="32"/>
          <w:szCs w:val="32"/>
        </w:rPr>
      </w:pPr>
      <w:r>
        <w:rPr>
          <w:rFonts w:hint="eastAsia" w:ascii="仿宋_GB2312" w:eastAsia="仿宋_GB2312"/>
          <w:sz w:val="32"/>
          <w:szCs w:val="32"/>
        </w:rPr>
        <w:t>五、一般公共预算支出表</w:t>
      </w:r>
    </w:p>
    <w:p>
      <w:pPr>
        <w:spacing w:line="600" w:lineRule="exact"/>
        <w:rPr>
          <w:rFonts w:ascii="仿宋_GB2312" w:eastAsia="仿宋_GB2312"/>
          <w:sz w:val="32"/>
          <w:szCs w:val="32"/>
        </w:rPr>
      </w:pPr>
      <w:r>
        <w:rPr>
          <w:rFonts w:hint="eastAsia" w:ascii="仿宋_GB2312" w:eastAsia="仿宋_GB2312"/>
          <w:sz w:val="32"/>
          <w:szCs w:val="32"/>
        </w:rPr>
        <w:t>六、政府性基金预算支出表</w:t>
      </w:r>
    </w:p>
    <w:p>
      <w:pPr>
        <w:spacing w:line="600" w:lineRule="exact"/>
        <w:rPr>
          <w:rFonts w:ascii="仿宋_GB2312" w:eastAsia="仿宋_GB2312"/>
          <w:sz w:val="32"/>
          <w:szCs w:val="32"/>
        </w:rPr>
      </w:pPr>
      <w:r>
        <w:rPr>
          <w:rFonts w:hint="eastAsia" w:ascii="仿宋_GB2312" w:eastAsia="仿宋_GB2312"/>
          <w:sz w:val="32"/>
          <w:szCs w:val="32"/>
        </w:rPr>
        <w:t>七、国有资本经营预算支出表</w:t>
      </w:r>
    </w:p>
    <w:p>
      <w:pPr>
        <w:spacing w:line="600" w:lineRule="exact"/>
        <w:rPr>
          <w:rFonts w:ascii="仿宋_GB2312" w:eastAsia="仿宋_GB2312"/>
          <w:sz w:val="32"/>
          <w:szCs w:val="32"/>
        </w:rPr>
      </w:pPr>
      <w:r>
        <w:rPr>
          <w:rFonts w:hint="eastAsia" w:ascii="仿宋_GB2312" w:eastAsia="仿宋_GB2312"/>
          <w:sz w:val="32"/>
          <w:szCs w:val="32"/>
        </w:rPr>
        <w:t>八、一般公共预算基本支出表</w:t>
      </w:r>
    </w:p>
    <w:p>
      <w:pPr>
        <w:spacing w:line="600" w:lineRule="exact"/>
        <w:rPr>
          <w:rFonts w:ascii="仿宋_GB2312" w:eastAsia="仿宋_GB2312"/>
          <w:sz w:val="32"/>
          <w:szCs w:val="32"/>
        </w:rPr>
      </w:pPr>
      <w:r>
        <w:rPr>
          <w:rFonts w:hint="eastAsia" w:ascii="仿宋_GB2312" w:eastAsia="仿宋_GB2312"/>
          <w:sz w:val="32"/>
          <w:szCs w:val="32"/>
        </w:rPr>
        <w:t>九、财政拨款预算“三公”经费支出表</w:t>
      </w:r>
    </w:p>
    <w:p>
      <w:pPr>
        <w:jc w:val="left"/>
        <w:rPr>
          <w:rFonts w:ascii="黑体" w:hAnsi="黑体" w:eastAsia="黑体"/>
          <w:bCs/>
          <w:sz w:val="32"/>
          <w:szCs w:val="32"/>
        </w:rPr>
      </w:pPr>
      <w:r>
        <w:rPr>
          <w:rFonts w:hint="eastAsia" w:ascii="黑体" w:hAnsi="黑体" w:eastAsia="黑体"/>
          <w:bCs/>
          <w:sz w:val="32"/>
          <w:szCs w:val="32"/>
        </w:rPr>
        <w:t>第三部分 2025年</w:t>
      </w:r>
      <w:r>
        <w:rPr>
          <w:rFonts w:hint="eastAsia" w:ascii="黑体" w:hAnsi="黑体" w:eastAsia="黑体"/>
          <w:bCs/>
          <w:sz w:val="32"/>
          <w:szCs w:val="32"/>
          <w:lang w:val="en-US" w:eastAsia="zh-CN"/>
        </w:rPr>
        <w:t>部门</w:t>
      </w:r>
      <w:r>
        <w:rPr>
          <w:rFonts w:hint="eastAsia" w:ascii="黑体" w:hAnsi="黑体" w:eastAsia="黑体"/>
          <w:bCs/>
          <w:sz w:val="32"/>
          <w:szCs w:val="32"/>
        </w:rPr>
        <w:t>预算情况说明</w:t>
      </w:r>
    </w:p>
    <w:p>
      <w:pPr>
        <w:jc w:val="left"/>
        <w:rPr>
          <w:rFonts w:ascii="黑体" w:hAnsi="黑体" w:eastAsia="黑体"/>
          <w:bCs/>
          <w:sz w:val="32"/>
          <w:szCs w:val="32"/>
        </w:rPr>
      </w:pPr>
      <w:r>
        <w:rPr>
          <w:rFonts w:hint="eastAsia" w:ascii="黑体" w:hAnsi="黑体" w:eastAsia="黑体"/>
          <w:bCs/>
          <w:sz w:val="32"/>
          <w:szCs w:val="32"/>
        </w:rPr>
        <w:t>第四部分 名词解释</w:t>
      </w:r>
    </w:p>
    <w:p>
      <w:pPr>
        <w:jc w:val="left"/>
        <w:rPr>
          <w:rFonts w:ascii="黑体" w:hAnsi="黑体" w:eastAsia="黑体"/>
          <w:bCs/>
          <w:sz w:val="32"/>
          <w:szCs w:val="32"/>
        </w:rPr>
      </w:pPr>
      <w:r>
        <w:rPr>
          <w:rFonts w:hint="eastAsia" w:ascii="黑体" w:hAnsi="黑体" w:eastAsia="黑体"/>
          <w:bCs/>
          <w:sz w:val="32"/>
          <w:szCs w:val="32"/>
        </w:rPr>
        <w:t>第五部分 附件</w:t>
      </w:r>
    </w:p>
    <w:p>
      <w:pPr>
        <w:rPr>
          <w:bCs/>
        </w:rPr>
      </w:pPr>
    </w:p>
    <w:p>
      <w:pPr>
        <w:spacing w:line="600" w:lineRule="exact"/>
        <w:jc w:val="center"/>
        <w:rPr>
          <w:rFonts w:ascii="黑体" w:hAnsi="黑体" w:eastAsia="黑体"/>
          <w:bCs/>
          <w:sz w:val="32"/>
          <w:szCs w:val="32"/>
        </w:rPr>
      </w:pPr>
      <w:r>
        <w:rPr>
          <w:rFonts w:hint="eastAsia" w:ascii="黑体" w:hAnsi="黑体" w:eastAsia="黑体"/>
          <w:bCs/>
          <w:sz w:val="32"/>
          <w:szCs w:val="32"/>
        </w:rPr>
        <w:t>第一部分 国家中医药博物馆概况</w:t>
      </w:r>
    </w:p>
    <w:p>
      <w:pPr>
        <w:spacing w:line="600" w:lineRule="exact"/>
        <w:rPr>
          <w:rFonts w:ascii="仿宋_GB2312" w:eastAsia="仿宋_GB2312"/>
          <w:sz w:val="32"/>
          <w:szCs w:val="32"/>
        </w:rPr>
      </w:pPr>
    </w:p>
    <w:p>
      <w:pPr>
        <w:spacing w:line="600" w:lineRule="exact"/>
        <w:ind w:firstLine="640" w:firstLineChars="200"/>
        <w:rPr>
          <w:rFonts w:ascii="黑体" w:hAnsi="黑体" w:eastAsia="黑体"/>
          <w:sz w:val="32"/>
          <w:szCs w:val="32"/>
        </w:rPr>
      </w:pPr>
      <w:r>
        <w:rPr>
          <w:rFonts w:hint="eastAsia" w:ascii="黑体" w:hAnsi="黑体" w:eastAsia="黑体"/>
          <w:bCs/>
          <w:sz w:val="32"/>
          <w:szCs w:val="32"/>
        </w:rPr>
        <w:t>一、主要职责</w:t>
      </w:r>
    </w:p>
    <w:p>
      <w:pPr>
        <w:spacing w:line="600" w:lineRule="exact"/>
        <w:rPr>
          <w:rFonts w:ascii="仿宋_GB2312" w:eastAsia="仿宋_GB2312"/>
          <w:sz w:val="32"/>
          <w:szCs w:val="32"/>
        </w:rPr>
      </w:pPr>
      <w:r>
        <w:rPr>
          <w:rFonts w:hint="eastAsia" w:ascii="仿宋_GB2312" w:eastAsia="仿宋_GB2312"/>
          <w:sz w:val="32"/>
          <w:szCs w:val="32"/>
        </w:rPr>
        <w:t>　　根据《中央编办关于设立中国中医药科技发展中心等事项的批复》(中编办复字〔2020〕38号)，国家中医药博物馆由国家中医药管理局管理。根据《中共国家中医药管理局党组关于印发《国家中医药博物馆职能配置、内设机构和人员编制规定的通知》(国中医药党〔2021〕18号)，我馆职责如下：</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（一）负责中医药文物、藏品、见证物的收集、保护和研究等。</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（二）负责举办中医药陈列展览、巡回展览等展览工作。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（三）组织开展中医药文物藏品、传统知识保护推广工作。</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（四）承担传承弘扬中医药文化，科学普及中医药健康知识，举办学术交流等活动。</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（五）组织开展中医药历史文化、古籍文献保护等研究，编辑整理文字、图片、音像资料等。</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（六）组织开展中医药健康教育、互动体验、文化创意、国际交流等活动。</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（七）承办国家中医药管理局交办的其他事项。</w:t>
      </w:r>
    </w:p>
    <w:p>
      <w:pPr>
        <w:spacing w:line="600" w:lineRule="exact"/>
        <w:ind w:firstLine="640" w:firstLineChars="200"/>
        <w:rPr>
          <w:rFonts w:ascii="黑体" w:hAnsi="黑体" w:eastAsia="黑体"/>
          <w:bCs/>
          <w:sz w:val="32"/>
          <w:szCs w:val="32"/>
        </w:rPr>
      </w:pPr>
      <w:r>
        <w:rPr>
          <w:rFonts w:hint="eastAsia" w:ascii="黑体" w:hAnsi="黑体" w:eastAsia="黑体"/>
          <w:bCs/>
          <w:sz w:val="32"/>
          <w:szCs w:val="32"/>
        </w:rPr>
        <w:t>二、单位内设机构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（一）国家中医药博物馆设10个内设机构（正处级），分别是：党政办公室、人事处、财务审计处、行政基建处、藏品管理部、展览策划部、研究部、文创事业部、社会教育部、信息数据部。</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（二）国家中医药博物馆财政补助事业编制55名。其中，领导班子职数1正3副（含党组织领导职数1名）；内设机构正副职领导职数23名。</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（三）内设机构职责由国家中医药博物馆研究制定，报国家中医药管理局备案。</w:t>
      </w:r>
    </w:p>
    <w:p>
      <w:pPr>
        <w:spacing w:line="600" w:lineRule="exact"/>
        <w:jc w:val="center"/>
        <w:rPr>
          <w:rFonts w:ascii="黑体" w:hAnsi="黑体" w:eastAsia="黑体"/>
          <w:bCs/>
          <w:sz w:val="32"/>
          <w:szCs w:val="32"/>
        </w:rPr>
      </w:pPr>
      <w:r>
        <w:rPr>
          <w:rFonts w:hint="eastAsia" w:ascii="黑体" w:hAnsi="黑体" w:eastAsia="黑体"/>
          <w:bCs/>
          <w:sz w:val="32"/>
          <w:szCs w:val="32"/>
        </w:rPr>
        <w:t>第二部分 2025年单位预算表</w:t>
      </w:r>
    </w:p>
    <w:p>
      <w:r>
        <w:rPr>
          <w:rFonts w:hint="eastAsia"/>
        </w:rPr>
        <w:t xml:space="preserve">  </w:t>
      </w:r>
      <w:r>
        <w:drawing>
          <wp:inline distT="0" distB="0" distL="114300" distR="114300">
            <wp:extent cx="5610860" cy="2847975"/>
            <wp:effectExtent l="0" t="0" r="8890" b="9525"/>
            <wp:docPr id="82"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66"/>
                    <pic:cNvPicPr>
                      <a:picLocks noChangeAspect="1"/>
                    </pic:cNvPicPr>
                  </pic:nvPicPr>
                  <pic:blipFill>
                    <a:blip r:embed="rId5"/>
                    <a:stretch>
                      <a:fillRect/>
                    </a:stretch>
                  </pic:blipFill>
                  <pic:spPr>
                    <a:xfrm>
                      <a:off x="0" y="0"/>
                      <a:ext cx="5610860" cy="2847975"/>
                    </a:xfrm>
                    <a:prstGeom prst="rect">
                      <a:avLst/>
                    </a:prstGeom>
                    <a:noFill/>
                    <a:ln>
                      <a:noFill/>
                    </a:ln>
                  </pic:spPr>
                </pic:pic>
              </a:graphicData>
            </a:graphic>
          </wp:inline>
        </w:drawing>
      </w:r>
    </w:p>
    <w:p>
      <w:r>
        <w:drawing>
          <wp:inline distT="0" distB="0" distL="114300" distR="114300">
            <wp:extent cx="5609590" cy="1034415"/>
            <wp:effectExtent l="0" t="0" r="10160" b="13335"/>
            <wp:docPr id="83"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67"/>
                    <pic:cNvPicPr>
                      <a:picLocks noChangeAspect="1"/>
                    </pic:cNvPicPr>
                  </pic:nvPicPr>
                  <pic:blipFill>
                    <a:blip r:embed="rId6"/>
                    <a:stretch>
                      <a:fillRect/>
                    </a:stretch>
                  </pic:blipFill>
                  <pic:spPr>
                    <a:xfrm>
                      <a:off x="0" y="0"/>
                      <a:ext cx="5609590" cy="1034415"/>
                    </a:xfrm>
                    <a:prstGeom prst="rect">
                      <a:avLst/>
                    </a:prstGeom>
                    <a:noFill/>
                    <a:ln>
                      <a:noFill/>
                    </a:ln>
                  </pic:spPr>
                </pic:pic>
              </a:graphicData>
            </a:graphic>
          </wp:inline>
        </w:drawing>
      </w:r>
    </w:p>
    <w:p>
      <w:r>
        <w:drawing>
          <wp:inline distT="0" distB="0" distL="114300" distR="114300">
            <wp:extent cx="5603240" cy="2277745"/>
            <wp:effectExtent l="0" t="0" r="16510" b="8255"/>
            <wp:docPr id="84"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68"/>
                    <pic:cNvPicPr>
                      <a:picLocks noChangeAspect="1"/>
                    </pic:cNvPicPr>
                  </pic:nvPicPr>
                  <pic:blipFill>
                    <a:blip r:embed="rId7"/>
                    <a:stretch>
                      <a:fillRect/>
                    </a:stretch>
                  </pic:blipFill>
                  <pic:spPr>
                    <a:xfrm>
                      <a:off x="0" y="0"/>
                      <a:ext cx="5603240" cy="2277745"/>
                    </a:xfrm>
                    <a:prstGeom prst="rect">
                      <a:avLst/>
                    </a:prstGeom>
                    <a:noFill/>
                    <a:ln>
                      <a:noFill/>
                    </a:ln>
                  </pic:spPr>
                </pic:pic>
              </a:graphicData>
            </a:graphic>
          </wp:inline>
        </w:drawing>
      </w:r>
    </w:p>
    <w:p>
      <w:r>
        <w:drawing>
          <wp:inline distT="0" distB="0" distL="114300" distR="114300">
            <wp:extent cx="5610860" cy="2354580"/>
            <wp:effectExtent l="0" t="0" r="8890" b="7620"/>
            <wp:docPr id="85"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69"/>
                    <pic:cNvPicPr>
                      <a:picLocks noChangeAspect="1"/>
                    </pic:cNvPicPr>
                  </pic:nvPicPr>
                  <pic:blipFill>
                    <a:blip r:embed="rId8"/>
                    <a:stretch>
                      <a:fillRect/>
                    </a:stretch>
                  </pic:blipFill>
                  <pic:spPr>
                    <a:xfrm>
                      <a:off x="0" y="0"/>
                      <a:ext cx="5610860" cy="2354580"/>
                    </a:xfrm>
                    <a:prstGeom prst="rect">
                      <a:avLst/>
                    </a:prstGeom>
                    <a:noFill/>
                    <a:ln>
                      <a:noFill/>
                    </a:ln>
                  </pic:spPr>
                </pic:pic>
              </a:graphicData>
            </a:graphic>
          </wp:inline>
        </w:drawing>
      </w:r>
    </w:p>
    <w:p>
      <w:r>
        <w:drawing>
          <wp:inline distT="0" distB="0" distL="114300" distR="114300">
            <wp:extent cx="5610860" cy="2125345"/>
            <wp:effectExtent l="0" t="0" r="8890" b="8255"/>
            <wp:docPr id="86"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70"/>
                    <pic:cNvPicPr>
                      <a:picLocks noChangeAspect="1"/>
                    </pic:cNvPicPr>
                  </pic:nvPicPr>
                  <pic:blipFill>
                    <a:blip r:embed="rId9"/>
                    <a:stretch>
                      <a:fillRect/>
                    </a:stretch>
                  </pic:blipFill>
                  <pic:spPr>
                    <a:xfrm>
                      <a:off x="0" y="0"/>
                      <a:ext cx="5610860" cy="2125345"/>
                    </a:xfrm>
                    <a:prstGeom prst="rect">
                      <a:avLst/>
                    </a:prstGeom>
                    <a:noFill/>
                    <a:ln>
                      <a:noFill/>
                    </a:ln>
                  </pic:spPr>
                </pic:pic>
              </a:graphicData>
            </a:graphic>
          </wp:inline>
        </w:drawing>
      </w:r>
    </w:p>
    <w:p>
      <w:r>
        <w:drawing>
          <wp:inline distT="0" distB="0" distL="114300" distR="114300">
            <wp:extent cx="5603240" cy="918210"/>
            <wp:effectExtent l="0" t="0" r="16510" b="15240"/>
            <wp:docPr id="87"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71"/>
                    <pic:cNvPicPr>
                      <a:picLocks noChangeAspect="1"/>
                    </pic:cNvPicPr>
                  </pic:nvPicPr>
                  <pic:blipFill>
                    <a:blip r:embed="rId10"/>
                    <a:stretch>
                      <a:fillRect/>
                    </a:stretch>
                  </pic:blipFill>
                  <pic:spPr>
                    <a:xfrm>
                      <a:off x="0" y="0"/>
                      <a:ext cx="5603240" cy="918210"/>
                    </a:xfrm>
                    <a:prstGeom prst="rect">
                      <a:avLst/>
                    </a:prstGeom>
                    <a:noFill/>
                    <a:ln>
                      <a:noFill/>
                    </a:ln>
                  </pic:spPr>
                </pic:pic>
              </a:graphicData>
            </a:graphic>
          </wp:inline>
        </w:drawing>
      </w:r>
    </w:p>
    <w:p>
      <w:r>
        <w:rPr>
          <w:rFonts w:hint="eastAsia"/>
        </w:rPr>
        <w:t xml:space="preserve"> </w:t>
      </w:r>
      <w:r>
        <w:drawing>
          <wp:inline distT="0" distB="0" distL="114300" distR="114300">
            <wp:extent cx="5603875" cy="920750"/>
            <wp:effectExtent l="0" t="0" r="15875" b="12700"/>
            <wp:docPr id="88"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72"/>
                    <pic:cNvPicPr>
                      <a:picLocks noChangeAspect="1"/>
                    </pic:cNvPicPr>
                  </pic:nvPicPr>
                  <pic:blipFill>
                    <a:blip r:embed="rId11"/>
                    <a:stretch>
                      <a:fillRect/>
                    </a:stretch>
                  </pic:blipFill>
                  <pic:spPr>
                    <a:xfrm>
                      <a:off x="0" y="0"/>
                      <a:ext cx="5603875" cy="920750"/>
                    </a:xfrm>
                    <a:prstGeom prst="rect">
                      <a:avLst/>
                    </a:prstGeom>
                    <a:noFill/>
                    <a:ln>
                      <a:noFill/>
                    </a:ln>
                  </pic:spPr>
                </pic:pic>
              </a:graphicData>
            </a:graphic>
          </wp:inline>
        </w:drawing>
      </w:r>
    </w:p>
    <w:p>
      <w:r>
        <w:drawing>
          <wp:inline distT="0" distB="0" distL="114300" distR="114300">
            <wp:extent cx="5615940" cy="3650615"/>
            <wp:effectExtent l="0" t="0" r="3810" b="6985"/>
            <wp:docPr id="89"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73"/>
                    <pic:cNvPicPr>
                      <a:picLocks noChangeAspect="1"/>
                    </pic:cNvPicPr>
                  </pic:nvPicPr>
                  <pic:blipFill>
                    <a:blip r:embed="rId12"/>
                    <a:stretch>
                      <a:fillRect/>
                    </a:stretch>
                  </pic:blipFill>
                  <pic:spPr>
                    <a:xfrm>
                      <a:off x="0" y="0"/>
                      <a:ext cx="5615940" cy="3650615"/>
                    </a:xfrm>
                    <a:prstGeom prst="rect">
                      <a:avLst/>
                    </a:prstGeom>
                    <a:noFill/>
                    <a:ln>
                      <a:noFill/>
                    </a:ln>
                  </pic:spPr>
                </pic:pic>
              </a:graphicData>
            </a:graphic>
          </wp:inline>
        </w:drawing>
      </w:r>
    </w:p>
    <w:p>
      <w:r>
        <w:drawing>
          <wp:inline distT="0" distB="0" distL="114300" distR="114300">
            <wp:extent cx="5604510" cy="833120"/>
            <wp:effectExtent l="0" t="0" r="15240" b="5080"/>
            <wp:docPr id="91"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75"/>
                    <pic:cNvPicPr>
                      <a:picLocks noChangeAspect="1"/>
                    </pic:cNvPicPr>
                  </pic:nvPicPr>
                  <pic:blipFill>
                    <a:blip r:embed="rId13"/>
                    <a:stretch>
                      <a:fillRect/>
                    </a:stretch>
                  </pic:blipFill>
                  <pic:spPr>
                    <a:xfrm>
                      <a:off x="0" y="0"/>
                      <a:ext cx="5604510" cy="833120"/>
                    </a:xfrm>
                    <a:prstGeom prst="rect">
                      <a:avLst/>
                    </a:prstGeom>
                    <a:noFill/>
                    <a:ln>
                      <a:noFill/>
                    </a:ln>
                  </pic:spPr>
                </pic:pic>
              </a:graphicData>
            </a:graphic>
          </wp:inline>
        </w:drawing>
      </w:r>
    </w:p>
    <w:p>
      <w:pPr>
        <w:spacing w:line="600" w:lineRule="exact"/>
        <w:jc w:val="center"/>
        <w:rPr>
          <w:rFonts w:ascii="黑体" w:hAnsi="黑体" w:eastAsia="黑体"/>
          <w:bCs/>
          <w:sz w:val="32"/>
          <w:szCs w:val="32"/>
        </w:rPr>
      </w:pPr>
      <w:r>
        <w:rPr>
          <w:rFonts w:hint="eastAsia" w:ascii="黑体" w:hAnsi="黑体" w:eastAsia="黑体"/>
          <w:bCs/>
          <w:sz w:val="32"/>
          <w:szCs w:val="32"/>
        </w:rPr>
        <w:t>第三部分 2025年单位预算情况说明</w:t>
      </w:r>
    </w:p>
    <w:p>
      <w:pPr>
        <w:spacing w:line="600" w:lineRule="exact"/>
        <w:ind w:firstLine="640" w:firstLineChars="200"/>
        <w:rPr>
          <w:rFonts w:ascii="黑体" w:hAnsi="黑体" w:eastAsia="黑体"/>
          <w:bCs/>
          <w:sz w:val="32"/>
          <w:szCs w:val="32"/>
        </w:rPr>
      </w:pPr>
      <w:r>
        <w:rPr>
          <w:rFonts w:hint="eastAsia" w:ascii="黑体" w:hAnsi="黑体" w:eastAsia="黑体"/>
          <w:bCs/>
          <w:sz w:val="32"/>
          <w:szCs w:val="32"/>
        </w:rPr>
        <w:t>一、关于2025年单位收支总表的说明</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年收支总预算1650.92万元。收入包括：一般公共预算拨款收入、事业收入、其他收入、上年结转;支出包括：社会保障和就业支出、卫生健康支出、住房保障支出。</w:t>
      </w:r>
    </w:p>
    <w:p>
      <w:pPr>
        <w:spacing w:line="600" w:lineRule="exact"/>
        <w:ind w:firstLine="640" w:firstLineChars="200"/>
        <w:rPr>
          <w:rFonts w:ascii="黑体" w:hAnsi="黑体" w:eastAsia="黑体"/>
          <w:bCs/>
          <w:sz w:val="32"/>
          <w:szCs w:val="32"/>
        </w:rPr>
      </w:pPr>
      <w:r>
        <w:rPr>
          <w:rFonts w:hint="eastAsia" w:ascii="黑体" w:hAnsi="黑体" w:eastAsia="黑体"/>
          <w:bCs/>
          <w:sz w:val="32"/>
          <w:szCs w:val="32"/>
        </w:rPr>
        <w:t>二、关于2025年单位收入总表的说明</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2025年收入预算1650.92万元，其中：一般公共预算拨款收入1331.38万元，占80.64%；事业收入257万元，占15.57%；其他收入15.60万元，占0.95%；上年结转46.94万元，占2.84%。 </w:t>
      </w:r>
    </w:p>
    <w:p>
      <w:pPr>
        <w:rPr>
          <w:rFonts w:hint="eastAsia" w:ascii="仿宋_GB2312" w:eastAsia="仿宋_GB2312"/>
          <w:sz w:val="32"/>
          <w:szCs w:val="32"/>
          <w:lang w:eastAsia="zh-CN"/>
        </w:rPr>
      </w:pPr>
      <w:r>
        <w:rPr>
          <w:rFonts w:hint="eastAsia" w:ascii="仿宋_GB2312" w:eastAsia="仿宋_GB2312"/>
          <w:sz w:val="32"/>
          <w:szCs w:val="32"/>
          <w:lang w:eastAsia="zh-CN"/>
        </w:rPr>
        <w:drawing>
          <wp:inline distT="0" distB="0" distL="114300" distR="114300">
            <wp:extent cx="5615940" cy="3561080"/>
            <wp:effectExtent l="0" t="0" r="3810" b="1270"/>
            <wp:docPr id="4" name="图片 4" descr="8b9b741e2fbb9a87bb6c48af66a30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b9b741e2fbb9a87bb6c48af66a301e"/>
                    <pic:cNvPicPr>
                      <a:picLocks noChangeAspect="1"/>
                    </pic:cNvPicPr>
                  </pic:nvPicPr>
                  <pic:blipFill>
                    <a:blip r:embed="rId14"/>
                    <a:stretch>
                      <a:fillRect/>
                    </a:stretch>
                  </pic:blipFill>
                  <pic:spPr>
                    <a:xfrm>
                      <a:off x="0" y="0"/>
                      <a:ext cx="5615940" cy="3561080"/>
                    </a:xfrm>
                    <a:prstGeom prst="rect">
                      <a:avLst/>
                    </a:prstGeom>
                  </pic:spPr>
                </pic:pic>
              </a:graphicData>
            </a:graphic>
          </wp:inline>
        </w:drawing>
      </w:r>
    </w:p>
    <w:p>
      <w:pPr>
        <w:spacing w:line="600" w:lineRule="exact"/>
        <w:ind w:firstLine="640" w:firstLineChars="200"/>
        <w:rPr>
          <w:rFonts w:ascii="黑体" w:hAnsi="黑体" w:eastAsia="黑体"/>
          <w:bCs/>
          <w:sz w:val="32"/>
          <w:szCs w:val="32"/>
        </w:rPr>
      </w:pPr>
      <w:r>
        <w:rPr>
          <w:rFonts w:hint="eastAsia" w:ascii="黑体" w:hAnsi="黑体" w:eastAsia="黑体"/>
          <w:bCs/>
          <w:sz w:val="32"/>
          <w:szCs w:val="32"/>
        </w:rPr>
        <w:t>三、关于2025年单位支出总表的说明</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2025年支出预算1650.92万元，其中：基本支出963.27万元，占58.35%；项目支出687.65万元，占41.65%。</w:t>
      </w:r>
    </w:p>
    <w:p>
      <w:pPr>
        <w:rPr>
          <w:rFonts w:hint="eastAsia" w:eastAsiaTheme="minorEastAsia"/>
          <w:lang w:eastAsia="zh-CN"/>
        </w:rPr>
      </w:pPr>
      <w:r>
        <w:rPr>
          <w:rFonts w:hint="eastAsia" w:eastAsiaTheme="minorEastAsia"/>
          <w:lang w:eastAsia="zh-CN"/>
        </w:rPr>
        <w:drawing>
          <wp:inline distT="0" distB="0" distL="114300" distR="114300">
            <wp:extent cx="5615940" cy="3599815"/>
            <wp:effectExtent l="0" t="0" r="3810" b="635"/>
            <wp:docPr id="3" name="图片 3" descr="f69d5d4eb275ac17bd831e7b65ebd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69d5d4eb275ac17bd831e7b65ebd4b"/>
                    <pic:cNvPicPr>
                      <a:picLocks noChangeAspect="1"/>
                    </pic:cNvPicPr>
                  </pic:nvPicPr>
                  <pic:blipFill>
                    <a:blip r:embed="rId15"/>
                    <a:stretch>
                      <a:fillRect/>
                    </a:stretch>
                  </pic:blipFill>
                  <pic:spPr>
                    <a:xfrm>
                      <a:off x="0" y="0"/>
                      <a:ext cx="5615940" cy="3599815"/>
                    </a:xfrm>
                    <a:prstGeom prst="rect">
                      <a:avLst/>
                    </a:prstGeom>
                  </pic:spPr>
                </pic:pic>
              </a:graphicData>
            </a:graphic>
          </wp:inline>
        </w:drawing>
      </w:r>
    </w:p>
    <w:p>
      <w:pPr>
        <w:spacing w:line="600" w:lineRule="exact"/>
        <w:ind w:firstLine="640" w:firstLineChars="200"/>
        <w:rPr>
          <w:rFonts w:ascii="黑体" w:hAnsi="黑体" w:eastAsia="黑体"/>
          <w:bCs/>
          <w:sz w:val="32"/>
          <w:szCs w:val="32"/>
        </w:rPr>
      </w:pPr>
      <w:r>
        <w:rPr>
          <w:rFonts w:hint="eastAsia" w:ascii="黑体" w:hAnsi="黑体" w:eastAsia="黑体"/>
          <w:bCs/>
          <w:sz w:val="32"/>
          <w:szCs w:val="32"/>
        </w:rPr>
        <w:t>四、关于2025年财政拨款收支总表的说明</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2025年财政拨款收支总预算1378.32万元。收入为一般公共预算拨款，无国有资本经营预算拨款，无政府性基金预算拨款,包括：一般公共预算当年拨款收入1331.38万元，上年结转46.94万元; 支出包括：社会保障和就业支出113.31万元，卫生健康支出1150.09万元，住房保障支出114.92万元。</w:t>
      </w:r>
    </w:p>
    <w:p>
      <w:pPr>
        <w:rPr>
          <w:rFonts w:hint="eastAsia" w:eastAsiaTheme="minorEastAsia"/>
          <w:lang w:eastAsia="zh-CN"/>
        </w:rPr>
      </w:pPr>
      <w:r>
        <w:rPr>
          <w:rFonts w:hint="eastAsia" w:eastAsiaTheme="minorEastAsia"/>
          <w:lang w:eastAsia="zh-CN"/>
        </w:rPr>
        <w:drawing>
          <wp:inline distT="0" distB="0" distL="114300" distR="114300">
            <wp:extent cx="5611495" cy="3559810"/>
            <wp:effectExtent l="0" t="0" r="8255" b="2540"/>
            <wp:docPr id="5" name="图片 5" descr="bfebc620ad67801dcf8b1ef0c2fe5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bfebc620ad67801dcf8b1ef0c2fe5f1"/>
                    <pic:cNvPicPr>
                      <a:picLocks noChangeAspect="1"/>
                    </pic:cNvPicPr>
                  </pic:nvPicPr>
                  <pic:blipFill>
                    <a:blip r:embed="rId16"/>
                    <a:stretch>
                      <a:fillRect/>
                    </a:stretch>
                  </pic:blipFill>
                  <pic:spPr>
                    <a:xfrm>
                      <a:off x="0" y="0"/>
                      <a:ext cx="5611495" cy="3559810"/>
                    </a:xfrm>
                    <a:prstGeom prst="rect">
                      <a:avLst/>
                    </a:prstGeom>
                  </pic:spPr>
                </pic:pic>
              </a:graphicData>
            </a:graphic>
          </wp:inline>
        </w:drawing>
      </w:r>
    </w:p>
    <w:p>
      <w:pPr>
        <w:rPr>
          <w:rFonts w:hint="eastAsia" w:eastAsiaTheme="minorEastAsia"/>
          <w:lang w:eastAsia="zh-CN"/>
        </w:rPr>
      </w:pPr>
      <w:r>
        <w:rPr>
          <w:rFonts w:hint="eastAsia" w:eastAsiaTheme="minorEastAsia"/>
          <w:lang w:eastAsia="zh-CN"/>
        </w:rPr>
        <w:drawing>
          <wp:inline distT="0" distB="0" distL="114300" distR="114300">
            <wp:extent cx="5614035" cy="3538855"/>
            <wp:effectExtent l="0" t="0" r="5715" b="4445"/>
            <wp:docPr id="6" name="图片 6" descr="d937ac6f1981a3167d67382921a2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937ac6f1981a3167d67382921a2129"/>
                    <pic:cNvPicPr>
                      <a:picLocks noChangeAspect="1"/>
                    </pic:cNvPicPr>
                  </pic:nvPicPr>
                  <pic:blipFill>
                    <a:blip r:embed="rId17"/>
                    <a:stretch>
                      <a:fillRect/>
                    </a:stretch>
                  </pic:blipFill>
                  <pic:spPr>
                    <a:xfrm>
                      <a:off x="0" y="0"/>
                      <a:ext cx="5614035" cy="3538855"/>
                    </a:xfrm>
                    <a:prstGeom prst="rect">
                      <a:avLst/>
                    </a:prstGeom>
                  </pic:spPr>
                </pic:pic>
              </a:graphicData>
            </a:graphic>
          </wp:inline>
        </w:drawing>
      </w:r>
    </w:p>
    <w:p>
      <w:pPr>
        <w:spacing w:line="600" w:lineRule="exact"/>
        <w:ind w:firstLine="640" w:firstLineChars="200"/>
        <w:rPr>
          <w:rFonts w:ascii="黑体" w:hAnsi="黑体" w:eastAsia="黑体"/>
          <w:bCs/>
          <w:sz w:val="32"/>
          <w:szCs w:val="32"/>
        </w:rPr>
      </w:pPr>
      <w:r>
        <w:rPr>
          <w:rFonts w:hint="eastAsia" w:ascii="黑体" w:hAnsi="黑体" w:eastAsia="黑体"/>
          <w:bCs/>
          <w:sz w:val="32"/>
          <w:szCs w:val="32"/>
        </w:rPr>
        <w:t>五、关于2025年一般公共预算支出表的说明</w:t>
      </w:r>
    </w:p>
    <w:p>
      <w:pPr>
        <w:spacing w:line="600" w:lineRule="exact"/>
        <w:ind w:firstLine="643" w:firstLineChars="200"/>
        <w:rPr>
          <w:rFonts w:ascii="楷体_GB2312" w:eastAsia="楷体_GB2312"/>
          <w:b/>
          <w:sz w:val="32"/>
          <w:szCs w:val="32"/>
        </w:rPr>
      </w:pPr>
      <w:r>
        <w:rPr>
          <w:rFonts w:hint="eastAsia" w:ascii="楷体_GB2312" w:eastAsia="楷体_GB2312"/>
          <w:b/>
          <w:sz w:val="32"/>
          <w:szCs w:val="32"/>
        </w:rPr>
        <w:t>（一）一般公共预算当年拨款规模情况。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2025年一般公共预算当年拨款1331.38万元。</w:t>
      </w:r>
    </w:p>
    <w:p>
      <w:pPr>
        <w:spacing w:line="600" w:lineRule="exact"/>
        <w:ind w:firstLine="643" w:firstLineChars="200"/>
        <w:rPr>
          <w:rFonts w:ascii="楷体_GB2312" w:eastAsia="楷体_GB2312"/>
          <w:b/>
          <w:sz w:val="32"/>
          <w:szCs w:val="32"/>
        </w:rPr>
      </w:pPr>
      <w:r>
        <w:rPr>
          <w:rFonts w:hint="eastAsia" w:ascii="楷体_GB2312" w:eastAsia="楷体_GB2312"/>
          <w:b/>
          <w:sz w:val="32"/>
          <w:szCs w:val="32"/>
        </w:rPr>
        <w:t>（二）一般公共预算当年拨款支出结构情况。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社会保障和就业支出104.93万元，占7.88%；卫生健康支出1148.07万元，占86.23%；住房保障支出78.38万元，占5.89%。</w:t>
      </w:r>
    </w:p>
    <w:p>
      <w:pPr>
        <w:rPr>
          <w:rFonts w:hint="eastAsia" w:eastAsiaTheme="minorEastAsia"/>
          <w:lang w:eastAsia="zh-CN"/>
        </w:rPr>
      </w:pPr>
      <w:r>
        <w:rPr>
          <w:rFonts w:hint="eastAsia" w:eastAsiaTheme="minorEastAsia"/>
          <w:lang w:eastAsia="zh-CN"/>
        </w:rPr>
        <w:drawing>
          <wp:inline distT="0" distB="0" distL="114300" distR="114300">
            <wp:extent cx="5609590" cy="3552825"/>
            <wp:effectExtent l="0" t="0" r="10160" b="9525"/>
            <wp:docPr id="7" name="图片 7" descr="b330b751aa6bba8339229ffdb6c7e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b330b751aa6bba8339229ffdb6c7eb3"/>
                    <pic:cNvPicPr>
                      <a:picLocks noChangeAspect="1"/>
                    </pic:cNvPicPr>
                  </pic:nvPicPr>
                  <pic:blipFill>
                    <a:blip r:embed="rId18"/>
                    <a:stretch>
                      <a:fillRect/>
                    </a:stretch>
                  </pic:blipFill>
                  <pic:spPr>
                    <a:xfrm>
                      <a:off x="0" y="0"/>
                      <a:ext cx="5609590" cy="3552825"/>
                    </a:xfrm>
                    <a:prstGeom prst="rect">
                      <a:avLst/>
                    </a:prstGeom>
                  </pic:spPr>
                </pic:pic>
              </a:graphicData>
            </a:graphic>
          </wp:inline>
        </w:drawing>
      </w:r>
    </w:p>
    <w:p>
      <w:pPr>
        <w:spacing w:line="600" w:lineRule="exact"/>
        <w:ind w:firstLine="643" w:firstLineChars="200"/>
        <w:rPr>
          <w:rFonts w:ascii="楷体_GB2312" w:eastAsia="楷体_GB2312"/>
          <w:b/>
          <w:sz w:val="32"/>
          <w:szCs w:val="32"/>
        </w:rPr>
      </w:pPr>
      <w:r>
        <w:rPr>
          <w:rFonts w:hint="eastAsia" w:ascii="楷体_GB2312" w:eastAsia="楷体_GB2312"/>
          <w:b/>
          <w:sz w:val="32"/>
          <w:szCs w:val="32"/>
        </w:rPr>
        <w:t>(三)一般公共预算当年拨款具体情况。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1.社会保障和就业支出（类）行政事业单位养老支出（款）机关事业单位基本养老保险缴费支出（项）2025年年初预算数为66.70万元。</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2.社会保障和就业支出（类）行政事业单位养老支出（款）机关事业单位职业年金缴费支出（项）2025年年初预算数为38.23万元。</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3.卫生健康支出(类) 2025年年初预算数为1148.07万元。</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4.住房保障支出(类)住房改革支出(款)住房公积金(项)2025年年初预算数为47.55万元。</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5.住房保障支出(类)住房改革支出(款)提租补贴(项)2025年年初预算数为2.71万元。</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6.住房保障支出(类)住房改革支出(款)购房补贴(项)2025年年初预算数为28.12万元。</w:t>
      </w:r>
    </w:p>
    <w:p>
      <w:pPr>
        <w:rPr>
          <w:rFonts w:hint="eastAsia" w:ascii="仿宋_GB2312" w:eastAsia="仿宋_GB2312"/>
          <w:sz w:val="32"/>
          <w:szCs w:val="32"/>
          <w:lang w:eastAsia="zh-CN"/>
        </w:rPr>
      </w:pPr>
      <w:r>
        <w:rPr>
          <w:rFonts w:hint="eastAsia" w:ascii="仿宋_GB2312" w:eastAsia="仿宋_GB2312"/>
          <w:sz w:val="32"/>
          <w:szCs w:val="32"/>
          <w:lang w:eastAsia="zh-CN"/>
        </w:rPr>
        <w:drawing>
          <wp:inline distT="0" distB="0" distL="114300" distR="114300">
            <wp:extent cx="5611495" cy="3552190"/>
            <wp:effectExtent l="0" t="0" r="8255" b="10160"/>
            <wp:docPr id="8" name="图片 8" descr="d9a0244406842fc95f03ba3226e54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9a0244406842fc95f03ba3226e54d1"/>
                    <pic:cNvPicPr>
                      <a:picLocks noChangeAspect="1"/>
                    </pic:cNvPicPr>
                  </pic:nvPicPr>
                  <pic:blipFill>
                    <a:blip r:embed="rId19"/>
                    <a:stretch>
                      <a:fillRect/>
                    </a:stretch>
                  </pic:blipFill>
                  <pic:spPr>
                    <a:xfrm>
                      <a:off x="0" y="0"/>
                      <a:ext cx="5611495" cy="3552190"/>
                    </a:xfrm>
                    <a:prstGeom prst="rect">
                      <a:avLst/>
                    </a:prstGeom>
                  </pic:spPr>
                </pic:pic>
              </a:graphicData>
            </a:graphic>
          </wp:inline>
        </w:drawing>
      </w:r>
    </w:p>
    <w:p>
      <w:pPr>
        <w:spacing w:line="600" w:lineRule="exact"/>
        <w:ind w:firstLine="640" w:firstLineChars="200"/>
        <w:rPr>
          <w:rFonts w:ascii="黑体" w:hAnsi="黑体" w:eastAsia="黑体"/>
          <w:bCs/>
          <w:sz w:val="32"/>
          <w:szCs w:val="32"/>
        </w:rPr>
      </w:pPr>
      <w:r>
        <w:rPr>
          <w:rFonts w:hint="eastAsia" w:ascii="黑体" w:hAnsi="黑体" w:eastAsia="黑体"/>
          <w:bCs/>
          <w:sz w:val="32"/>
          <w:szCs w:val="32"/>
        </w:rPr>
        <w:t>六、关于2025年政府性基金预算支出情况的说明</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2025年无政府性基金预算支出。</w:t>
      </w:r>
    </w:p>
    <w:p>
      <w:pPr>
        <w:spacing w:line="600" w:lineRule="exact"/>
        <w:ind w:firstLine="640" w:firstLineChars="200"/>
        <w:rPr>
          <w:rFonts w:ascii="黑体" w:hAnsi="黑体" w:eastAsia="黑体"/>
          <w:bCs/>
          <w:sz w:val="32"/>
          <w:szCs w:val="32"/>
        </w:rPr>
      </w:pPr>
      <w:r>
        <w:rPr>
          <w:rFonts w:hint="eastAsia" w:ascii="黑体" w:hAnsi="黑体" w:eastAsia="黑体"/>
          <w:bCs/>
          <w:sz w:val="32"/>
          <w:szCs w:val="32"/>
        </w:rPr>
        <w:t>七、关于2025年国有资本经营预算支出情况的说明</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2025年无国有资本经营预算支出。</w:t>
      </w:r>
    </w:p>
    <w:p>
      <w:pPr>
        <w:spacing w:line="600" w:lineRule="exact"/>
        <w:ind w:firstLine="640" w:firstLineChars="200"/>
        <w:rPr>
          <w:rFonts w:ascii="黑体" w:hAnsi="黑体" w:eastAsia="黑体"/>
          <w:bCs/>
          <w:sz w:val="32"/>
          <w:szCs w:val="32"/>
        </w:rPr>
      </w:pPr>
      <w:r>
        <w:rPr>
          <w:rFonts w:hint="eastAsia" w:ascii="黑体" w:hAnsi="黑体" w:eastAsia="黑体"/>
          <w:bCs/>
          <w:sz w:val="32"/>
          <w:szCs w:val="32"/>
        </w:rPr>
        <w:t>八、关于2025年一般公共预算基本支出表的说明</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2025年一般公共预算基本支出644.15万元，其中，人员经费553.85万元，主要包括：基本工资、津贴补贴、绩效工资、机关事业单位基本养老保险缴费、职业年金缴费、住房公积金、提租补贴、购房补贴。</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公用经费90.30万元，主要包括：办公费、印刷费、电费、邮电费、差旅费、会议费、培训费、劳务费、委托业务费、工会经费、税金及附加费用、其他商品和服务支出、办公设备购置、信息网络及软件购置更新。</w:t>
      </w:r>
    </w:p>
    <w:p>
      <w:pPr>
        <w:spacing w:line="600" w:lineRule="exact"/>
        <w:ind w:firstLine="640" w:firstLineChars="200"/>
        <w:rPr>
          <w:rFonts w:ascii="黑体" w:hAnsi="黑体" w:eastAsia="黑体"/>
          <w:bCs/>
          <w:sz w:val="32"/>
          <w:szCs w:val="32"/>
        </w:rPr>
      </w:pPr>
      <w:r>
        <w:rPr>
          <w:rFonts w:hint="eastAsia" w:ascii="黑体" w:hAnsi="黑体" w:eastAsia="黑体"/>
          <w:bCs/>
          <w:sz w:val="32"/>
          <w:szCs w:val="32"/>
        </w:rPr>
        <w:t>九、关于2025年财政拨款预算“三公”经费支出表的说明</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2025年无“三公”经费预算。</w:t>
      </w:r>
    </w:p>
    <w:p>
      <w:pPr>
        <w:spacing w:line="600" w:lineRule="exact"/>
        <w:ind w:firstLine="640" w:firstLineChars="200"/>
        <w:rPr>
          <w:rFonts w:ascii="黑体" w:hAnsi="黑体" w:eastAsia="黑体"/>
          <w:bCs/>
          <w:sz w:val="32"/>
          <w:szCs w:val="32"/>
        </w:rPr>
      </w:pPr>
      <w:r>
        <w:rPr>
          <w:rFonts w:hint="eastAsia" w:ascii="黑体" w:hAnsi="黑体" w:eastAsia="黑体"/>
          <w:bCs/>
          <w:sz w:val="32"/>
          <w:szCs w:val="32"/>
        </w:rPr>
        <w:t>十、关于2025年其他重要事项情况说明</w:t>
      </w:r>
    </w:p>
    <w:p>
      <w:pPr>
        <w:spacing w:line="600" w:lineRule="exact"/>
        <w:ind w:firstLine="643" w:firstLineChars="200"/>
        <w:rPr>
          <w:rFonts w:ascii="楷体_GB2312" w:eastAsia="楷体_GB2312"/>
          <w:b/>
          <w:sz w:val="32"/>
          <w:szCs w:val="32"/>
        </w:rPr>
      </w:pPr>
      <w:r>
        <w:rPr>
          <w:rFonts w:hint="eastAsia" w:ascii="楷体_GB2312" w:eastAsia="楷体_GB2312"/>
          <w:b/>
          <w:sz w:val="32"/>
          <w:szCs w:val="32"/>
        </w:rPr>
        <w:t>（一）国有资产占有使用情况说明。</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2025年财政预算</w:t>
      </w:r>
      <w:r>
        <w:rPr>
          <w:rFonts w:ascii="仿宋_GB2312" w:eastAsia="仿宋_GB2312"/>
          <w:sz w:val="32"/>
          <w:szCs w:val="32"/>
        </w:rPr>
        <w:t>未</w:t>
      </w:r>
      <w:r>
        <w:rPr>
          <w:rFonts w:hint="eastAsia" w:ascii="仿宋_GB2312" w:eastAsia="仿宋_GB2312"/>
          <w:sz w:val="32"/>
          <w:szCs w:val="32"/>
        </w:rPr>
        <w:t>安排购置车辆及购置单位价值50万元以上的通用设备。</w:t>
      </w:r>
    </w:p>
    <w:p>
      <w:pPr>
        <w:spacing w:line="600" w:lineRule="exact"/>
        <w:ind w:firstLine="643" w:firstLineChars="200"/>
        <w:rPr>
          <w:rFonts w:ascii="楷体_GB2312" w:eastAsia="楷体_GB2312"/>
          <w:b/>
          <w:sz w:val="32"/>
          <w:szCs w:val="32"/>
        </w:rPr>
      </w:pPr>
      <w:r>
        <w:rPr>
          <w:rFonts w:hint="eastAsia" w:ascii="楷体_GB2312" w:eastAsia="楷体_GB2312"/>
          <w:b/>
          <w:sz w:val="32"/>
          <w:szCs w:val="32"/>
        </w:rPr>
        <w:t>（二）预算绩效情况说明。</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2025年对项目支出全面实施绩效目标管理，涉及预算拨款687.23万元，全部为一般公共预算拨款。2025年度国家中医药博物馆文博专项经费绩效目标表，见“第五部分 附件”。</w:t>
      </w:r>
    </w:p>
    <w:p>
      <w:pPr>
        <w:spacing w:line="600" w:lineRule="exact"/>
        <w:jc w:val="center"/>
        <w:rPr>
          <w:rFonts w:ascii="黑体" w:hAnsi="黑体" w:eastAsia="黑体"/>
          <w:bCs/>
          <w:sz w:val="32"/>
          <w:szCs w:val="32"/>
        </w:rPr>
      </w:pPr>
      <w:r>
        <w:rPr>
          <w:rFonts w:hint="eastAsia" w:ascii="黑体" w:hAnsi="黑体" w:eastAsia="黑体"/>
          <w:bCs/>
          <w:sz w:val="32"/>
          <w:szCs w:val="32"/>
        </w:rPr>
        <w:t>第四部分 名词解释</w:t>
      </w:r>
    </w:p>
    <w:p>
      <w:pPr>
        <w:spacing w:line="600" w:lineRule="exact"/>
        <w:ind w:firstLine="640" w:firstLineChars="200"/>
        <w:rPr>
          <w:rFonts w:ascii="黑体" w:hAnsi="黑体" w:eastAsia="黑体"/>
          <w:bCs/>
          <w:sz w:val="32"/>
          <w:szCs w:val="32"/>
        </w:rPr>
      </w:pPr>
      <w:r>
        <w:rPr>
          <w:rFonts w:hint="eastAsia" w:ascii="黑体" w:hAnsi="黑体" w:eastAsia="黑体"/>
          <w:bCs/>
          <w:sz w:val="32"/>
          <w:szCs w:val="32"/>
        </w:rPr>
        <w:t>一、收入科目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（一）一般公共预算拨款收入：指中央财政当年拨付的资金。</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（三）上年结转：指以前年度安排、结转到本年扔按原规定用途继续使用的资金。</w:t>
      </w:r>
    </w:p>
    <w:p>
      <w:pPr>
        <w:spacing w:line="600" w:lineRule="exact"/>
        <w:ind w:firstLine="640" w:firstLineChars="200"/>
        <w:rPr>
          <w:rFonts w:ascii="黑体" w:hAnsi="黑体" w:eastAsia="黑体"/>
          <w:bCs/>
          <w:sz w:val="32"/>
          <w:szCs w:val="32"/>
        </w:rPr>
      </w:pPr>
      <w:r>
        <w:rPr>
          <w:rFonts w:hint="eastAsia" w:ascii="黑体" w:hAnsi="黑体" w:eastAsia="黑体"/>
          <w:bCs/>
          <w:sz w:val="32"/>
          <w:szCs w:val="32"/>
        </w:rPr>
        <w:t>二、支出科目</w:t>
      </w:r>
    </w:p>
    <w:p>
      <w:pPr>
        <w:spacing w:line="600" w:lineRule="exact"/>
        <w:ind w:firstLine="643" w:firstLineChars="200"/>
        <w:rPr>
          <w:rFonts w:ascii="楷体_GB2312" w:eastAsia="楷体_GB2312"/>
          <w:b/>
          <w:sz w:val="32"/>
          <w:szCs w:val="32"/>
        </w:rPr>
      </w:pPr>
      <w:r>
        <w:rPr>
          <w:rFonts w:hint="eastAsia" w:ascii="楷体_GB2312" w:eastAsia="楷体_GB2312"/>
          <w:b/>
          <w:sz w:val="32"/>
          <w:szCs w:val="32"/>
        </w:rPr>
        <w:t>（一）社会保障和就业支出（类）：反映政府在社会保障与就业方面的支出。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行政事业单位养老支出（款）：反映用于行政事业单位养老方面的支出。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机关事业单位基本养老保险缴费支出（项）：反映机关事业单位实施养老保险制度由单位缴纳的基本养老保险费支出。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机关事业单位职业年金缴费支出（项）：反映机关事业单位实施养老保险制度由单位实际缴纳的职业年金支出。</w:t>
      </w:r>
    </w:p>
    <w:p>
      <w:pPr>
        <w:spacing w:line="600" w:lineRule="exact"/>
        <w:ind w:firstLine="643" w:firstLineChars="200"/>
        <w:rPr>
          <w:rFonts w:ascii="楷体_GB2312" w:eastAsia="楷体_GB2312"/>
          <w:b/>
          <w:sz w:val="32"/>
          <w:szCs w:val="32"/>
        </w:rPr>
      </w:pPr>
      <w:r>
        <w:rPr>
          <w:rFonts w:hint="eastAsia" w:ascii="楷体_GB2312" w:eastAsia="楷体_GB2312"/>
          <w:b/>
          <w:sz w:val="32"/>
          <w:szCs w:val="32"/>
        </w:rPr>
        <w:t>（二）卫生健康支出（类）：反映政府卫生健康方面的支出。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卫生健康管理事务（款）：反映卫生健康、中医等管理方面的支出。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其他卫生健康管理事务支出（项）：反映除上述项目以外其他用于卫生健康管理事务方面的支出。　　</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中医药（款）：反映中医药方面的支出。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其他中医药支出（项）：反映除中医（民族医）药专项支出以外的其他中医药支出。</w:t>
      </w:r>
    </w:p>
    <w:p>
      <w:pPr>
        <w:spacing w:line="600" w:lineRule="exact"/>
        <w:ind w:firstLine="643" w:firstLineChars="200"/>
        <w:rPr>
          <w:rFonts w:ascii="楷体_GB2312" w:eastAsia="楷体_GB2312"/>
          <w:b/>
          <w:sz w:val="32"/>
          <w:szCs w:val="32"/>
        </w:rPr>
      </w:pPr>
      <w:r>
        <w:rPr>
          <w:rFonts w:hint="eastAsia" w:ascii="楷体_GB2312" w:eastAsia="楷体_GB2312"/>
          <w:b/>
          <w:sz w:val="32"/>
          <w:szCs w:val="32"/>
        </w:rPr>
        <w:t>（三）住房保障支出（类）：集中反映政府用于住房方面的支出。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住房改革支出（款）：指行政事业单位用财政拨款资金和其他资金等安排的住房改革支出。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住房公积金（项）：指按照《住房公积金管理条例》的规定，由单位及其在职职工缴存的长期住房储金。该项政策始于上世纪九十年代中期，在全国机关、企事业单位在职职工中普遍实施，缴存比例最低不低于5%，最高不超过12%，缴存基数为职工本人上年工资，目前已实施约20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提租补贴（项）：指经国务院批准，于2000年开始针对在京中央单位公有住房租金标准提高发放的补贴，中央在京单位按照在编职工人数和离退休人数以及相应职级的补贴标准确定，人均月补贴90元。</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购房补贴（项）：指根据《国务院关于进一步深化城镇住房制度改革加快住房建设的通知》(国发</w:t>
      </w:r>
      <w:r>
        <w:rPr>
          <w:rFonts w:hint="eastAsia" w:ascii="仿宋_GB2312" w:hAnsi="仿宋" w:eastAsia="仿宋_GB2312" w:cs="仿宋_GB2312"/>
          <w:sz w:val="32"/>
          <w:szCs w:val="32"/>
        </w:rPr>
        <w:t>〔</w:t>
      </w:r>
      <w:r>
        <w:rPr>
          <w:rFonts w:hint="eastAsia" w:ascii="仿宋_GB2312" w:eastAsia="仿宋_GB2312"/>
          <w:sz w:val="32"/>
          <w:szCs w:val="32"/>
        </w:rPr>
        <w:t>1998</w:t>
      </w:r>
      <w:r>
        <w:rPr>
          <w:rFonts w:hint="eastAsia" w:ascii="仿宋_GB2312" w:hAnsi="仿宋" w:eastAsia="仿宋_GB2312" w:cs="仿宋_GB2312"/>
          <w:sz w:val="32"/>
          <w:szCs w:val="32"/>
        </w:rPr>
        <w:t>〕</w:t>
      </w:r>
      <w:r>
        <w:rPr>
          <w:rFonts w:hint="eastAsia" w:ascii="仿宋_GB2312" w:eastAsia="仿宋_GB2312"/>
          <w:sz w:val="32"/>
          <w:szCs w:val="32"/>
        </w:rPr>
        <w:t>23号)的规定，从1998年下半年停止实物分房后，房价收入比超过4倍以上地区对无房和住房未达标职工发放的住房货币化改革补贴资金。中央行政事业单位从2000年开始发放购房补贴资金，地方行政事业单位从1999年陆续开始发放购房补贴资金，企业根据本单位情况自行确定。在京中央单位按照《中共中央办公厅 国务院办公厅转发建设部等单位&lt;关于完善在京中央和国家机关住房制度的若干意见&gt;的通知》（厅字</w:t>
      </w:r>
      <w:r>
        <w:rPr>
          <w:rFonts w:hint="eastAsia" w:ascii="仿宋_GB2312" w:hAnsi="仿宋" w:eastAsia="仿宋_GB2312" w:cs="仿宋_GB2312"/>
          <w:sz w:val="32"/>
          <w:szCs w:val="32"/>
        </w:rPr>
        <w:t>〔</w:t>
      </w:r>
      <w:r>
        <w:rPr>
          <w:rFonts w:hint="eastAsia" w:ascii="仿宋_GB2312" w:eastAsia="仿宋_GB2312"/>
          <w:sz w:val="32"/>
          <w:szCs w:val="32"/>
        </w:rPr>
        <w:t>2005</w:t>
      </w:r>
      <w:r>
        <w:rPr>
          <w:rFonts w:hint="eastAsia" w:ascii="仿宋_GB2312" w:hAnsi="仿宋" w:eastAsia="仿宋_GB2312" w:cs="仿宋_GB2312"/>
          <w:sz w:val="32"/>
          <w:szCs w:val="32"/>
        </w:rPr>
        <w:t>〕</w:t>
      </w:r>
      <w:r>
        <w:rPr>
          <w:rFonts w:hint="eastAsia" w:ascii="仿宋_GB2312" w:eastAsia="仿宋_GB2312"/>
          <w:sz w:val="32"/>
          <w:szCs w:val="32"/>
        </w:rPr>
        <w:t>8号）规定的标准执行，京外中央单位按照所在地人民政府住房分配货币化改革的政策规定和标准执行。</w:t>
      </w:r>
    </w:p>
    <w:p>
      <w:pPr>
        <w:spacing w:line="600" w:lineRule="exact"/>
        <w:ind w:firstLine="640" w:firstLineChars="200"/>
        <w:rPr>
          <w:rFonts w:ascii="黑体" w:hAnsi="黑体" w:eastAsia="黑体"/>
          <w:bCs/>
          <w:sz w:val="32"/>
          <w:szCs w:val="32"/>
        </w:rPr>
      </w:pPr>
      <w:r>
        <w:rPr>
          <w:rFonts w:hint="eastAsia" w:ascii="黑体" w:hAnsi="黑体" w:eastAsia="黑体"/>
          <w:bCs/>
          <w:sz w:val="32"/>
          <w:szCs w:val="32"/>
        </w:rPr>
        <w:t>三、“三公”经费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纳入国家中医药管理局预算管理的“三公”经费主要指国家中医药管理局用财政拨款安排的因公出国（境）费、公务用车购置及运行费和公务接待费。其中:</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因公出国（境）费反映单位公务出国（境）的住宿费、旅费、伙食补助费、杂费、培训费等支出;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公务用车购置及运行费反映单位公务用车购置费及租用费、燃料费、维修费、过路过桥费、保险费、安全奖励费用等支出;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公务接待费反映单位按规定开支的各类公务接待（含外宾接待）支出。</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numPr>
          <w:ilvl w:val="0"/>
          <w:numId w:val="1"/>
        </w:numPr>
        <w:spacing w:line="600" w:lineRule="exact"/>
        <w:jc w:val="center"/>
        <w:rPr>
          <w:rFonts w:ascii="黑体" w:hAnsi="黑体" w:eastAsia="黑体"/>
          <w:bCs/>
          <w:sz w:val="32"/>
          <w:szCs w:val="32"/>
        </w:rPr>
      </w:pPr>
      <w:r>
        <w:rPr>
          <w:rFonts w:hint="eastAsia" w:ascii="黑体" w:hAnsi="黑体" w:eastAsia="黑体"/>
          <w:bCs/>
          <w:sz w:val="32"/>
          <w:szCs w:val="32"/>
        </w:rPr>
        <w:t>附件</w:t>
      </w:r>
    </w:p>
    <w:p>
      <w:pPr>
        <w:rPr>
          <w:rFonts w:ascii="黑体" w:hAnsi="黑体" w:eastAsia="黑体"/>
          <w:bCs/>
          <w:sz w:val="32"/>
          <w:szCs w:val="32"/>
        </w:rPr>
      </w:pPr>
      <w:r>
        <w:drawing>
          <wp:inline distT="0" distB="0" distL="114300" distR="114300">
            <wp:extent cx="5610225" cy="7166610"/>
            <wp:effectExtent l="0" t="0" r="9525" b="1524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20"/>
                    <a:stretch>
                      <a:fillRect/>
                    </a:stretch>
                  </pic:blipFill>
                  <pic:spPr>
                    <a:xfrm>
                      <a:off x="0" y="0"/>
                      <a:ext cx="5610225" cy="7166610"/>
                    </a:xfrm>
                    <a:prstGeom prst="rect">
                      <a:avLst/>
                    </a:prstGeom>
                    <a:noFill/>
                    <a:ln>
                      <a:noFill/>
                    </a:ln>
                  </pic:spPr>
                </pic:pic>
              </a:graphicData>
            </a:graphic>
          </wp:inline>
        </w:drawing>
      </w:r>
    </w:p>
    <w:p>
      <w:pPr>
        <w:rPr>
          <w:sz w:val="22"/>
        </w:rPr>
      </w:pPr>
      <w:r>
        <w:drawing>
          <wp:inline distT="0" distB="0" distL="114300" distR="114300">
            <wp:extent cx="5610225" cy="5378450"/>
            <wp:effectExtent l="0" t="0" r="9525" b="1270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21"/>
                    <a:stretch>
                      <a:fillRect/>
                    </a:stretch>
                  </pic:blipFill>
                  <pic:spPr>
                    <a:xfrm>
                      <a:off x="0" y="0"/>
                      <a:ext cx="5610225" cy="5378450"/>
                    </a:xfrm>
                    <a:prstGeom prst="rect">
                      <a:avLst/>
                    </a:prstGeom>
                    <a:noFill/>
                    <a:ln>
                      <a:noFill/>
                    </a:ln>
                  </pic:spPr>
                </pic:pic>
              </a:graphicData>
            </a:graphic>
          </wp:inline>
        </w:drawing>
      </w:r>
    </w:p>
    <w:sectPr>
      <w:footerReference r:id="rId3" w:type="default"/>
      <w:pgSz w:w="11906" w:h="16838"/>
      <w:pgMar w:top="170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1273270"/>
    </w:sdtPr>
    <w:sdtContent>
      <w:p>
        <w:pPr>
          <w:pStyle w:val="3"/>
          <w:jc w:val="center"/>
        </w:pPr>
        <w:r>
          <w:rPr>
            <w:rFonts w:hint="eastAsia" w:ascii="华文仿宋" w:hAnsi="华文仿宋" w:eastAsia="华文仿宋"/>
            <w:sz w:val="28"/>
            <w:szCs w:val="28"/>
          </w:rPr>
          <w:t xml:space="preserve">— </w:t>
        </w:r>
        <w:r>
          <w:rPr>
            <w:rFonts w:ascii="华文仿宋" w:hAnsi="华文仿宋" w:eastAsia="华文仿宋"/>
            <w:sz w:val="28"/>
            <w:szCs w:val="28"/>
          </w:rPr>
          <w:fldChar w:fldCharType="begin"/>
        </w:r>
        <w:r>
          <w:rPr>
            <w:rFonts w:ascii="华文仿宋" w:hAnsi="华文仿宋" w:eastAsia="华文仿宋"/>
            <w:sz w:val="28"/>
            <w:szCs w:val="28"/>
          </w:rPr>
          <w:instrText xml:space="preserve">PAGE   \* MERGEFORMAT</w:instrText>
        </w:r>
        <w:r>
          <w:rPr>
            <w:rFonts w:ascii="华文仿宋" w:hAnsi="华文仿宋" w:eastAsia="华文仿宋"/>
            <w:sz w:val="28"/>
            <w:szCs w:val="28"/>
          </w:rPr>
          <w:fldChar w:fldCharType="separate"/>
        </w:r>
        <w:r>
          <w:rPr>
            <w:rFonts w:ascii="华文仿宋" w:hAnsi="华文仿宋" w:eastAsia="华文仿宋"/>
            <w:sz w:val="28"/>
            <w:szCs w:val="28"/>
            <w:lang w:val="zh-CN"/>
          </w:rPr>
          <w:t>2</w:t>
        </w:r>
        <w:r>
          <w:rPr>
            <w:rFonts w:ascii="华文仿宋" w:hAnsi="华文仿宋" w:eastAsia="华文仿宋"/>
            <w:sz w:val="28"/>
            <w:szCs w:val="28"/>
          </w:rPr>
          <w:fldChar w:fldCharType="end"/>
        </w:r>
        <w:r>
          <w:rPr>
            <w:rFonts w:hint="eastAsia" w:ascii="华文仿宋" w:hAnsi="华文仿宋" w:eastAsia="华文仿宋"/>
            <w:sz w:val="28"/>
            <w:szCs w:val="28"/>
          </w:rPr>
          <w:t xml:space="preserve"> —</w:t>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1F95F3"/>
    <w:multiLevelType w:val="singleLevel"/>
    <w:tmpl w:val="AB1F95F3"/>
    <w:lvl w:ilvl="0" w:tentative="0">
      <w:start w:val="5"/>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jNDI0ZTRlMGRlYzczN2E3YmQ4ZDA5NWE2ZmE3MDkifQ=="/>
  </w:docVars>
  <w:rsids>
    <w:rsidRoot w:val="00174A38"/>
    <w:rsid w:val="00005DD2"/>
    <w:rsid w:val="00022BF2"/>
    <w:rsid w:val="000374E2"/>
    <w:rsid w:val="00092F04"/>
    <w:rsid w:val="00095849"/>
    <w:rsid w:val="000D621B"/>
    <w:rsid w:val="000F1432"/>
    <w:rsid w:val="00106C8A"/>
    <w:rsid w:val="00106C90"/>
    <w:rsid w:val="0013589C"/>
    <w:rsid w:val="00174A38"/>
    <w:rsid w:val="00176ED8"/>
    <w:rsid w:val="0019092B"/>
    <w:rsid w:val="001B5077"/>
    <w:rsid w:val="001E0862"/>
    <w:rsid w:val="00223AED"/>
    <w:rsid w:val="00224327"/>
    <w:rsid w:val="00261ACD"/>
    <w:rsid w:val="002758D7"/>
    <w:rsid w:val="00276474"/>
    <w:rsid w:val="002915BC"/>
    <w:rsid w:val="002E35E1"/>
    <w:rsid w:val="003B3DFB"/>
    <w:rsid w:val="003E1028"/>
    <w:rsid w:val="004052C0"/>
    <w:rsid w:val="00430BDB"/>
    <w:rsid w:val="00453FD7"/>
    <w:rsid w:val="00500FED"/>
    <w:rsid w:val="00544905"/>
    <w:rsid w:val="00553754"/>
    <w:rsid w:val="0058268E"/>
    <w:rsid w:val="005E1EB1"/>
    <w:rsid w:val="006441F6"/>
    <w:rsid w:val="00652C8F"/>
    <w:rsid w:val="006B3C47"/>
    <w:rsid w:val="0072762E"/>
    <w:rsid w:val="00744EA4"/>
    <w:rsid w:val="0078005F"/>
    <w:rsid w:val="008A2CDF"/>
    <w:rsid w:val="008A58FE"/>
    <w:rsid w:val="008B11AA"/>
    <w:rsid w:val="008C50CF"/>
    <w:rsid w:val="0090384A"/>
    <w:rsid w:val="00974E23"/>
    <w:rsid w:val="00985935"/>
    <w:rsid w:val="009A04C9"/>
    <w:rsid w:val="009F7CA1"/>
    <w:rsid w:val="00AD026B"/>
    <w:rsid w:val="00AE201E"/>
    <w:rsid w:val="00B0091D"/>
    <w:rsid w:val="00B101A7"/>
    <w:rsid w:val="00B87985"/>
    <w:rsid w:val="00BD3049"/>
    <w:rsid w:val="00C21420"/>
    <w:rsid w:val="00D37D01"/>
    <w:rsid w:val="00D50772"/>
    <w:rsid w:val="00E97E19"/>
    <w:rsid w:val="00EF2EF9"/>
    <w:rsid w:val="00FD3441"/>
    <w:rsid w:val="02CE5A23"/>
    <w:rsid w:val="04934A97"/>
    <w:rsid w:val="0A1D5CA7"/>
    <w:rsid w:val="0B7B20D3"/>
    <w:rsid w:val="0E1C58A8"/>
    <w:rsid w:val="0F996C2A"/>
    <w:rsid w:val="12032177"/>
    <w:rsid w:val="1ECE5CA2"/>
    <w:rsid w:val="27E13C65"/>
    <w:rsid w:val="4D1C40CD"/>
    <w:rsid w:val="4F127F72"/>
    <w:rsid w:val="4FF46AFF"/>
    <w:rsid w:val="50C62971"/>
    <w:rsid w:val="51DB6702"/>
    <w:rsid w:val="5FF732A1"/>
    <w:rsid w:val="723E4AF5"/>
    <w:rsid w:val="74E25716"/>
    <w:rsid w:val="75B32724"/>
    <w:rsid w:val="75C02C57"/>
    <w:rsid w:val="776149A8"/>
    <w:rsid w:val="7C7279F7"/>
    <w:rsid w:val="7DF53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16</Pages>
  <Words>3270</Words>
  <Characters>3596</Characters>
  <Lines>26</Lines>
  <Paragraphs>7</Paragraphs>
  <TotalTime>116</TotalTime>
  <ScaleCrop>false</ScaleCrop>
  <LinksUpToDate>false</LinksUpToDate>
  <CharactersWithSpaces>3619</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2025-04-16T01:52:00Z</dcterms:created>
  <dc:creator>Acer</dc:creator>
  <cp:lastModifiedBy>Acer</cp:lastModifiedBy>
  <cp:lastPrinted>2025-04-18T07:00:24Z</cp:lastPrinted>
  <dcterms:modified xsi:type="dcterms:W3CDTF">2025-04-18T08:46:59Z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D22F8FB8372C40BD9DF16FE948A2E26C</vt:lpwstr>
  </property>
</Properties>
</file>